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This SOP defines procedures and documentation that must be completed in the event that:</w:t>
      </w:r>
    </w:p>
    <w:p w:rsidR="00000000" w:rsidDel="00000000" w:rsidP="00000000" w:rsidRDefault="00000000" w:rsidRPr="00000000" w14:paraId="00000002">
      <w:pPr>
        <w:pageBreakBefore w:val="0"/>
        <w:numPr>
          <w:ilvl w:val="0"/>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biological spill up to Biosafety Level 2 with enhanced precautions occurs</w:t>
      </w:r>
    </w:p>
    <w:p w:rsidR="00000000" w:rsidDel="00000000" w:rsidP="00000000" w:rsidRDefault="00000000" w:rsidRPr="00000000" w14:paraId="00000003">
      <w:pPr>
        <w:pageBreakBefore w:val="0"/>
        <w:numPr>
          <w:ilvl w:val="0"/>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is exposed to a potentially injurious biological agent as defined in the Risk Assessment Form prior to sorting</w:t>
      </w: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NOTE: Spill Procedures should be clearly posted in the BSL-2 suite</w:t>
      </w:r>
      <w:r w:rsidDel="00000000" w:rsidR="00000000" w:rsidRPr="00000000">
        <w:rPr>
          <w:rtl w:val="0"/>
        </w:rPr>
      </w:r>
    </w:p>
    <w:p w:rsidR="00000000" w:rsidDel="00000000" w:rsidP="00000000" w:rsidRDefault="00000000" w:rsidRPr="00000000" w14:paraId="00000006">
      <w:pPr>
        <w:pageBreakBefore w:val="0"/>
        <w:spacing w:line="276"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procedure is to be utilized for all Health Science Center (HSC) Flow Cytometry Core Facility laboratory safety practices and procedures at the University of Utah.</w:t>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p w:rsidR="00000000" w:rsidDel="00000000" w:rsidP="00000000" w:rsidRDefault="00000000" w:rsidRPr="00000000" w14:paraId="0000000A">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Introduction</w:t>
      </w:r>
    </w:p>
    <w:p w:rsidR="00000000" w:rsidDel="00000000" w:rsidP="00000000" w:rsidRDefault="00000000" w:rsidRPr="00000000" w14:paraId="0000000B">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Spill Containment and Disposal</w:t>
      </w:r>
    </w:p>
    <w:p w:rsidR="00000000" w:rsidDel="00000000" w:rsidP="00000000" w:rsidRDefault="00000000" w:rsidRPr="00000000" w14:paraId="0000000C">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Exposure First Response</w:t>
      </w:r>
    </w:p>
    <w:p w:rsidR="00000000" w:rsidDel="00000000" w:rsidP="00000000" w:rsidRDefault="00000000" w:rsidRPr="00000000" w14:paraId="0000000D">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Post Exposure Medical Care and Documentation</w:t>
      </w:r>
    </w:p>
    <w:p w:rsidR="00000000" w:rsidDel="00000000" w:rsidP="00000000" w:rsidRDefault="00000000" w:rsidRPr="00000000" w14:paraId="0000000E">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Post spill or exposure documentation and reporting</w:t>
      </w:r>
    </w:p>
    <w:p w:rsidR="00000000" w:rsidDel="00000000" w:rsidP="00000000" w:rsidRDefault="00000000" w:rsidRPr="00000000" w14:paraId="0000000F">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Appendices</w:t>
      </w:r>
    </w:p>
    <w:p w:rsidR="00000000" w:rsidDel="00000000" w:rsidP="00000000" w:rsidRDefault="00000000" w:rsidRPr="00000000" w14:paraId="00000010">
      <w:pPr>
        <w:pageBreakBefore w:val="0"/>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 Referenced Documents:</w:t>
      </w:r>
    </w:p>
    <w:p w:rsidR="00000000" w:rsidDel="00000000" w:rsidP="00000000" w:rsidRDefault="00000000" w:rsidRPr="00000000" w14:paraId="00000012">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Utah Flow Cytometry Core Facility SOP22</w:t>
      </w:r>
    </w:p>
    <w:p w:rsidR="00000000" w:rsidDel="00000000" w:rsidP="00000000" w:rsidRDefault="00000000" w:rsidRPr="00000000" w14:paraId="00000013">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Utah Flow Cytometry Core Facility Risk Assessment Form</w:t>
      </w:r>
    </w:p>
    <w:p w:rsidR="00000000" w:rsidDel="00000000" w:rsidP="00000000" w:rsidRDefault="00000000" w:rsidRPr="00000000" w14:paraId="00000014">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Utah Office of Environmental Health and Safety Post Exposure SOPs</w:t>
      </w:r>
    </w:p>
    <w:p w:rsidR="00000000" w:rsidDel="00000000" w:rsidP="00000000" w:rsidRDefault="00000000" w:rsidRPr="00000000" w14:paraId="00000015">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Spill or Exposure Event Report</w:t>
      </w:r>
    </w:p>
    <w:p w:rsidR="00000000" w:rsidDel="00000000" w:rsidP="00000000" w:rsidRDefault="00000000" w:rsidRPr="00000000" w14:paraId="00000016">
      <w:pPr>
        <w:pageBreakBefore w:val="0"/>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Employer’s First Report of Injury Form (E1-122) </w:t>
      </w:r>
    </w:p>
    <w:p w:rsidR="00000000" w:rsidDel="00000000" w:rsidP="00000000" w:rsidRDefault="00000000" w:rsidRPr="00000000" w14:paraId="00000017">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used in this document or other related safety documents:</w:t>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IBC = Institutional Biosafety Committee</w:t>
      </w:r>
    </w:p>
    <w:p w:rsidR="00000000" w:rsidDel="00000000" w:rsidP="00000000" w:rsidRDefault="00000000" w:rsidRPr="00000000" w14:paraId="0000001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BSC = Biosafety Cabinets (defined as Class I, II or III)</w:t>
      </w:r>
    </w:p>
    <w:p w:rsidR="00000000" w:rsidDel="00000000" w:rsidP="00000000" w:rsidRDefault="00000000" w:rsidRPr="00000000" w14:paraId="0000001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BSL = Biosafety Level (defined as 1, 2, 3 or 4)</w:t>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BSL2+= BSL2 with enhanced precautions</w:t>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PPE = Personal Protective Equipment</w:t>
      </w:r>
    </w:p>
    <w:p w:rsidR="00000000" w:rsidDel="00000000" w:rsidP="00000000" w:rsidRDefault="00000000" w:rsidRPr="00000000" w14:paraId="0000001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OEHS= Office of Environmental Health and Safety</w:t>
      </w:r>
    </w:p>
    <w:p w:rsidR="00000000" w:rsidDel="00000000" w:rsidP="00000000" w:rsidRDefault="00000000" w:rsidRPr="00000000" w14:paraId="0000001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NIH= National Institutes of Health</w:t>
      </w:r>
    </w:p>
    <w:p w:rsidR="00000000" w:rsidDel="00000000" w:rsidP="00000000" w:rsidRDefault="00000000" w:rsidRPr="00000000" w14:paraId="00000020">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NIH OSP= National Institutes of Health Office of Science Policy </w:t>
      </w:r>
    </w:p>
    <w:p w:rsidR="00000000" w:rsidDel="00000000" w:rsidP="00000000" w:rsidRDefault="00000000" w:rsidRPr="00000000" w14:paraId="00000021">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PBBP= Program of Biosecurity and Biosafety Policy</w:t>
      </w:r>
    </w:p>
    <w:p w:rsidR="00000000" w:rsidDel="00000000" w:rsidP="00000000" w:rsidRDefault="00000000" w:rsidRPr="00000000" w14:paraId="00000022">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Risk Group</w:t>
      </w:r>
    </w:p>
    <w:p w:rsidR="00000000" w:rsidDel="00000000" w:rsidP="00000000" w:rsidRDefault="00000000" w:rsidRPr="00000000" w14:paraId="00000023">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 Principal Investigator</w:t>
      </w:r>
      <w:r w:rsidDel="00000000" w:rsidR="00000000" w:rsidRPr="00000000">
        <w:rPr>
          <w:rtl w:val="0"/>
        </w:rPr>
      </w:r>
    </w:p>
    <w:p w:rsidR="00000000" w:rsidDel="00000000" w:rsidP="00000000" w:rsidRDefault="00000000" w:rsidRPr="00000000" w14:paraId="00000024">
      <w:pPr>
        <w:pageBreakBefore w:val="0"/>
        <w:numPr>
          <w:ilvl w:val="0"/>
          <w:numId w:val="1"/>
        </w:numPr>
        <w:spacing w:line="276"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Introduction </w:t>
        <w:tab/>
      </w:r>
    </w:p>
    <w:p w:rsidR="00000000" w:rsidDel="00000000" w:rsidP="00000000" w:rsidRDefault="00000000" w:rsidRPr="00000000" w14:paraId="00000025">
      <w:pPr>
        <w:pageBreakBefore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 of the Flow Cytometry Core Facility at the University of Utah</w:t>
      </w:r>
      <w:r w:rsidDel="00000000" w:rsidR="00000000" w:rsidRPr="00000000">
        <w:rPr>
          <w:rFonts w:ascii="Times New Roman" w:cs="Times New Roman" w:eastAsia="Times New Roman" w:hAnsi="Times New Roman"/>
          <w:sz w:val="24"/>
          <w:szCs w:val="24"/>
          <w:rtl w:val="0"/>
        </w:rPr>
        <w:t xml:space="preserve"> may encounter various microorganisms, viruses, and viral vectors. Work with any infectious agents at Risk Group II or higher requires completion of a Risk Assessment Form, review and approval by the University of Utah Institutional Biosafety Committee (IBC) or Biosafety Office, as well as approval by the facility director. After work is approved, all samples must be handled following the guidelines in SOP 22 for BSL2+ cell sorting; however, accidents, such as spills and other exposures, may result in a breach of normal containment scenarios. Individuals put at risk in these instances must have guidelines for what constitutes an exposure and where to seek appropriate medical care. As a result, this SOP defines proper containment, disposal, and documentation of such events.  </w:t>
      </w:r>
    </w:p>
    <w:p w:rsidR="00000000" w:rsidDel="00000000" w:rsidP="00000000" w:rsidRDefault="00000000" w:rsidRPr="00000000" w14:paraId="00000026">
      <w:pPr>
        <w:pageBreakBefore w:val="0"/>
        <w:spacing w:line="276"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numPr>
          <w:ilvl w:val="0"/>
          <w:numId w:val="1"/>
        </w:numPr>
        <w:spacing w:line="276"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Spill Containment and Disposal</w:t>
      </w:r>
    </w:p>
    <w:p w:rsidR="00000000" w:rsidDel="00000000" w:rsidP="00000000" w:rsidRDefault="00000000" w:rsidRPr="00000000" w14:paraId="00000028">
      <w:pPr>
        <w:pageBreakBefore w:val="0"/>
        <w:spacing w:line="276" w:lineRule="auto"/>
        <w:ind w:left="72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If a biological sample is spilled, the spill must be immediately contained and disposed of. After cleanup, the potential exposure risk of the spill must be assessed and reported to the appropriate offices.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spills or breaks involving recombinant DNA or synthetic nucleic acid molecules and potentially hazardous biological materials should be cleaned up using appropriate biosafety procedures, described below. If there is </w:t>
      </w:r>
      <w:r w:rsidDel="00000000" w:rsidR="00000000" w:rsidRPr="00000000">
        <w:rPr>
          <w:rFonts w:ascii="Times New Roman" w:cs="Times New Roman" w:eastAsia="Times New Roman" w:hAnsi="Times New Roman"/>
          <w:b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doubt about what to do, call the Biosafety Office at 1-6590, or the University’s internal emergency number at 5-2677. In addition, </w:t>
      </w:r>
      <w:r w:rsidDel="00000000" w:rsidR="00000000" w:rsidRPr="00000000">
        <w:rPr>
          <w:rFonts w:ascii="Times New Roman" w:cs="Times New Roman" w:eastAsia="Times New Roman" w:hAnsi="Times New Roman"/>
          <w:b w:val="1"/>
          <w:sz w:val="24"/>
          <w:szCs w:val="24"/>
          <w:rtl w:val="0"/>
        </w:rPr>
        <w:t xml:space="preserve">if the spill is large or outside of designated bio-containment equipment (e.g. BSC, bioBubble, centrifuge safety-cups, etc.), secure and cordon off the area, and notify the lab supervisor or PI and Biosafety Office immediately. </w:t>
      </w:r>
      <w:r w:rsidDel="00000000" w:rsidR="00000000" w:rsidRPr="00000000">
        <w:rPr>
          <w:rtl w:val="0"/>
        </w:rPr>
      </w:r>
    </w:p>
    <w:p w:rsidR="00000000" w:rsidDel="00000000" w:rsidP="00000000" w:rsidRDefault="00000000" w:rsidRPr="00000000" w14:paraId="00000029">
      <w:pPr>
        <w:pageBreakBefore w:val="0"/>
        <w:spacing w:line="276"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A">
      <w:pPr>
        <w:pageBreakBefore w:val="0"/>
        <w:numPr>
          <w:ilvl w:val="1"/>
          <w:numId w:val="1"/>
        </w:numPr>
        <w:spacing w:line="276"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Surface Spills </w:t>
      </w:r>
    </w:p>
    <w:p w:rsidR="00000000" w:rsidDel="00000000" w:rsidP="00000000" w:rsidRDefault="00000000" w:rsidRPr="00000000" w14:paraId="0000002B">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2C">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Dispose current pair of gloves, don two layers of disposable gloves</w:t>
      </w:r>
    </w:p>
    <w:p w:rsidR="00000000" w:rsidDel="00000000" w:rsidP="00000000" w:rsidRDefault="00000000" w:rsidRPr="00000000" w14:paraId="0000002D">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outside the biosafety cabinet, don safety glasses o</w:t>
      </w:r>
      <w:r w:rsidDel="00000000" w:rsidR="00000000" w:rsidRPr="00000000">
        <w:rPr>
          <w:rFonts w:ascii="Times New Roman" w:cs="Times New Roman" w:eastAsia="Times New Roman" w:hAnsi="Times New Roman"/>
          <w:sz w:val="24"/>
          <w:szCs w:val="24"/>
          <w:rtl w:val="0"/>
        </w:rPr>
        <w:t xml:space="preserve">r face shield.</w:t>
      </w:r>
      <w:r w:rsidDel="00000000" w:rsidR="00000000" w:rsidRPr="00000000">
        <w:rPr>
          <w:rtl w:val="0"/>
        </w:rPr>
      </w:r>
    </w:p>
    <w:p w:rsidR="00000000" w:rsidDel="00000000" w:rsidP="00000000" w:rsidRDefault="00000000" w:rsidRPr="00000000" w14:paraId="0000002E">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 the spill by covering with paper towels to avoid generating splashes or aerosols</w:t>
      </w:r>
    </w:p>
    <w:p w:rsidR="00000000" w:rsidDel="00000000" w:rsidP="00000000" w:rsidRDefault="00000000" w:rsidRPr="00000000" w14:paraId="0000002F">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Saturate spill with freshly-made 10% bleach, and let sit for a minimum of 30 minutes</w:t>
      </w:r>
    </w:p>
    <w:p w:rsidR="00000000" w:rsidDel="00000000" w:rsidP="00000000" w:rsidRDefault="00000000" w:rsidRPr="00000000" w14:paraId="00000030">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Wipe up spill, disposing of towels in biohazard bag</w:t>
      </w:r>
    </w:p>
    <w:p w:rsidR="00000000" w:rsidDel="00000000" w:rsidP="00000000" w:rsidRDefault="00000000" w:rsidRPr="00000000" w14:paraId="00000031">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Wipe spill area again with fresh 10% bleach, as well as 70% ethanol and dH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to remove bleach residue</w:t>
      </w:r>
      <w:r w:rsidDel="00000000" w:rsidR="00000000" w:rsidRPr="00000000">
        <w:rPr>
          <w:rtl w:val="0"/>
        </w:rPr>
      </w:r>
    </w:p>
    <w:p w:rsidR="00000000" w:rsidDel="00000000" w:rsidP="00000000" w:rsidRDefault="00000000" w:rsidRPr="00000000" w14:paraId="00000032">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 hands with soap and water</w:t>
      </w:r>
    </w:p>
    <w:p w:rsidR="00000000" w:rsidDel="00000000" w:rsidP="00000000" w:rsidRDefault="00000000" w:rsidRPr="00000000" w14:paraId="0000003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numPr>
          <w:ilvl w:val="1"/>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Spills Inside of a Centrifuge Contained Within a Closed Cup, Bucket, or Rotor</w:t>
      </w:r>
      <w:r w:rsidDel="00000000" w:rsidR="00000000" w:rsidRPr="00000000">
        <w:rPr>
          <w:rtl w:val="0"/>
        </w:rPr>
      </w:r>
    </w:p>
    <w:p w:rsidR="00000000" w:rsidDel="00000000" w:rsidP="00000000" w:rsidRDefault="00000000" w:rsidRPr="00000000" w14:paraId="00000035">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on a lab coat, two pairs of gloves, and proper eye protection prior to opening the centrifuge.  Open carefully to assess the damage.</w:t>
      </w:r>
    </w:p>
    <w:p w:rsidR="00000000" w:rsidDel="00000000" w:rsidP="00000000" w:rsidRDefault="00000000" w:rsidRPr="00000000" w14:paraId="00000036">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spill is contained within a closed cup, bucket, or rotor, spray the exterior with fresh 10% </w:t>
      </w:r>
      <w:r w:rsidDel="00000000" w:rsidR="00000000" w:rsidRPr="00000000">
        <w:rPr>
          <w:rFonts w:ascii="Times New Roman" w:cs="Times New Roman" w:eastAsia="Times New Roman" w:hAnsi="Times New Roman"/>
          <w:sz w:val="24"/>
          <w:szCs w:val="24"/>
          <w:rtl w:val="0"/>
        </w:rPr>
        <w:t xml:space="preserve">bleach</w:t>
      </w:r>
      <w:r w:rsidDel="00000000" w:rsidR="00000000" w:rsidRPr="00000000">
        <w:rPr>
          <w:rFonts w:ascii="Times New Roman" w:cs="Times New Roman" w:eastAsia="Times New Roman" w:hAnsi="Times New Roman"/>
          <w:sz w:val="24"/>
          <w:szCs w:val="24"/>
          <w:rtl w:val="0"/>
        </w:rPr>
        <w:t xml:space="preserve"> and allow a minimum of 30 minutes of contact time.  Remove the carrier to the nearest biosafety cabinet (BSC).  </w:t>
      </w:r>
    </w:p>
    <w:p w:rsidR="00000000" w:rsidDel="00000000" w:rsidP="00000000" w:rsidRDefault="00000000" w:rsidRPr="00000000" w14:paraId="00000037">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BSC is available, gather the supplies needed, such as a sharps container for broken glass and bins filled with disinfectant. Place the supplies inside the BSC. Use a device (forceps, tongs, etc.) to safely remove broken glass, and place it directly into a sharps container.  Carefully remove any unbroken tubes and place them in a tube rack where they can be sprayed with 10% bleach.  Wipe carrier/bucket with 10% bleach, followed by dH2O to remove bleach residue. Soak contaminated supplies in 10% bleach for at least 30 minutes. </w:t>
      </w:r>
    </w:p>
    <w:p w:rsidR="00000000" w:rsidDel="00000000" w:rsidP="00000000" w:rsidRDefault="00000000" w:rsidRPr="00000000" w14:paraId="00000038">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disinfection, carrier, bucket, or rotor should be washed with a mild soap and water.</w:t>
      </w:r>
    </w:p>
    <w:p w:rsidR="00000000" w:rsidDel="00000000" w:rsidP="00000000" w:rsidRDefault="00000000" w:rsidRPr="00000000" w14:paraId="00000039">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Spray the interior of the centrifuge chamber with 10% bleach let sit for a minimum of 30 minutes, followed by cleaning with dH2O to remove the bleach residue.</w:t>
      </w:r>
    </w:p>
    <w:p w:rsidR="00000000" w:rsidDel="00000000" w:rsidP="00000000" w:rsidRDefault="00000000" w:rsidRPr="00000000" w14:paraId="0000003A">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Dispose of all clean-up materials (except sharps) in an appropriate biohazardous waste container.  Dispose of sharps in a biohazard sharps container.</w:t>
      </w:r>
    </w:p>
    <w:p w:rsidR="00000000" w:rsidDel="00000000" w:rsidP="00000000" w:rsidRDefault="00000000" w:rsidRPr="00000000" w14:paraId="0000003B">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personal protective equipment and thoroughly wash hands.</w:t>
      </w:r>
    </w:p>
    <w:p w:rsidR="00000000" w:rsidDel="00000000" w:rsidP="00000000" w:rsidRDefault="00000000" w:rsidRPr="00000000" w14:paraId="0000003C">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lab supervisor or PI.</w:t>
      </w:r>
    </w:p>
    <w:p w:rsidR="00000000" w:rsidDel="00000000" w:rsidP="00000000" w:rsidRDefault="00000000" w:rsidRPr="00000000" w14:paraId="0000003D">
      <w:pPr>
        <w:pageBreakBefore w:val="0"/>
        <w:spacing w:line="240" w:lineRule="auto"/>
        <w:ind w:left="108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E">
      <w:pPr>
        <w:pageBreakBefore w:val="0"/>
        <w:numPr>
          <w:ilvl w:val="1"/>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Broken Glass or other sharps objects</w:t>
      </w:r>
    </w:p>
    <w:p w:rsidR="00000000" w:rsidDel="00000000" w:rsidP="00000000" w:rsidRDefault="00000000" w:rsidRPr="00000000" w14:paraId="0000003F">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40">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Dispose current pair of gloves; don two layers of disposable gloves</w:t>
      </w:r>
    </w:p>
    <w:p w:rsidR="00000000" w:rsidDel="00000000" w:rsidP="00000000" w:rsidRDefault="00000000" w:rsidRPr="00000000" w14:paraId="00000041">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outside the biosafety cabinet, don safety glasses or face shield.</w:t>
      </w:r>
      <w:r w:rsidDel="00000000" w:rsidR="00000000" w:rsidRPr="00000000">
        <w:rPr>
          <w:rtl w:val="0"/>
        </w:rPr>
      </w:r>
    </w:p>
    <w:p w:rsidR="00000000" w:rsidDel="00000000" w:rsidP="00000000" w:rsidRDefault="00000000" w:rsidRPr="00000000" w14:paraId="00000042">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not pick up glass or sharps with hands.</w:t>
      </w:r>
      <w:r w:rsidDel="00000000" w:rsidR="00000000" w:rsidRPr="00000000">
        <w:rPr>
          <w:rFonts w:ascii="Times New Roman" w:cs="Times New Roman" w:eastAsia="Times New Roman" w:hAnsi="Times New Roman"/>
          <w:sz w:val="24"/>
          <w:szCs w:val="24"/>
          <w:rtl w:val="0"/>
        </w:rPr>
        <w:t xml:space="preserve"> Use a hard dustpan with forceps or broom to collect glass or sharps. </w:t>
      </w:r>
    </w:p>
    <w:p w:rsidR="00000000" w:rsidDel="00000000" w:rsidP="00000000" w:rsidRDefault="00000000" w:rsidRPr="00000000" w14:paraId="00000043">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Dispose of broken glass or sharps in a proper sharps container.</w:t>
      </w:r>
      <w:r w:rsidDel="00000000" w:rsidR="00000000" w:rsidRPr="00000000">
        <w:rPr>
          <w:rtl w:val="0"/>
        </w:rPr>
      </w:r>
    </w:p>
    <w:p w:rsidR="00000000" w:rsidDel="00000000" w:rsidP="00000000" w:rsidRDefault="00000000" w:rsidRPr="00000000" w14:paraId="00000044">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 hands with soap and water</w:t>
      </w:r>
    </w:p>
    <w:p w:rsidR="00000000" w:rsidDel="00000000" w:rsidP="00000000" w:rsidRDefault="00000000" w:rsidRPr="00000000" w14:paraId="00000045">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the lab supervisor or PI</w:t>
      </w:r>
    </w:p>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numPr>
          <w:ilvl w:val="1"/>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Emergency Spills</w:t>
      </w:r>
      <w:r w:rsidDel="00000000" w:rsidR="00000000" w:rsidRPr="00000000">
        <w:rPr>
          <w:rFonts w:ascii="Times New Roman" w:cs="Times New Roman" w:eastAsia="Times New Roman" w:hAnsi="Times New Roman"/>
          <w:sz w:val="24"/>
          <w:szCs w:val="24"/>
          <w:u w:val="single"/>
          <w:rtl w:val="0"/>
        </w:rPr>
        <w:t xml:space="preserve">: Environmental Risk</w:t>
      </w:r>
      <w:r w:rsidDel="00000000" w:rsidR="00000000" w:rsidRPr="00000000">
        <w:rPr>
          <w:rtl w:val="0"/>
        </w:rPr>
      </w:r>
    </w:p>
    <w:p w:rsidR="00000000" w:rsidDel="00000000" w:rsidP="00000000" w:rsidRDefault="00000000" w:rsidRPr="00000000" w14:paraId="00000048">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49">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PPE</w:t>
      </w:r>
    </w:p>
    <w:p w:rsidR="00000000" w:rsidDel="00000000" w:rsidP="00000000" w:rsidRDefault="00000000" w:rsidRPr="00000000" w14:paraId="0000004A">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Evacuate area</w:t>
      </w:r>
    </w:p>
    <w:p w:rsidR="00000000" w:rsidDel="00000000" w:rsidP="00000000" w:rsidRDefault="00000000" w:rsidRPr="00000000" w14:paraId="0000004B">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lab supervisor or PI, and Biosafety Officer or OEHS</w:t>
      </w:r>
    </w:p>
    <w:p w:rsidR="00000000" w:rsidDel="00000000" w:rsidP="00000000" w:rsidRDefault="00000000" w:rsidRPr="00000000" w14:paraId="0000004C">
      <w:pPr>
        <w:pageBreakBefore w:val="0"/>
        <w:numPr>
          <w:ilvl w:val="2"/>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appropriate precautions to limit exposure or spread of spill to other areas</w:t>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numPr>
          <w:ilvl w:val="0"/>
          <w:numId w:val="1"/>
        </w:numPr>
        <w:spacing w:line="240"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Exposure</w:t>
      </w:r>
    </w:p>
    <w:p w:rsidR="00000000" w:rsidDel="00000000" w:rsidP="00000000" w:rsidRDefault="00000000" w:rsidRPr="00000000" w14:paraId="0000004F">
      <w:pPr>
        <w:pageBreakBefore w:val="0"/>
        <w:spacing w:line="240" w:lineRule="auto"/>
        <w:ind w:left="18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m</w:t>
      </w:r>
      <w:r w:rsidDel="00000000" w:rsidR="00000000" w:rsidRPr="00000000">
        <w:rPr>
          <w:rFonts w:ascii="Times New Roman" w:cs="Times New Roman" w:eastAsia="Times New Roman" w:hAnsi="Times New Roman"/>
          <w:sz w:val="24"/>
          <w:szCs w:val="24"/>
          <w:rtl w:val="0"/>
        </w:rPr>
        <w:t xml:space="preserve">ay occur as a result of a spill or as an accident during normal biocontainment in sample handling, via the modes described below. See Appendix 6.1 for definitions of exposure. Proper procedures in the event of exposure are defined below. If resultant injury is serious or life threatening, go to the University of Utah Hospital Emergency Department or call an ambulance (911).</w:t>
      </w:r>
    </w:p>
    <w:p w:rsidR="00000000" w:rsidDel="00000000" w:rsidP="00000000" w:rsidRDefault="00000000" w:rsidRPr="00000000" w14:paraId="00000050">
      <w:pPr>
        <w:pageBreakBefore w:val="0"/>
        <w:spacing w:line="240" w:lineRule="auto"/>
        <w:ind w:left="1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numPr>
          <w:ilvl w:val="1"/>
          <w:numId w:val="1"/>
        </w:numPr>
        <w:spacing w:line="276"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Exposure to skin or clothing</w:t>
      </w:r>
    </w:p>
    <w:p w:rsidR="00000000" w:rsidDel="00000000" w:rsidP="00000000" w:rsidRDefault="00000000" w:rsidRPr="00000000" w14:paraId="00000052">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53">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PPE</w:t>
      </w:r>
    </w:p>
    <w:p w:rsidR="00000000" w:rsidDel="00000000" w:rsidP="00000000" w:rsidRDefault="00000000" w:rsidRPr="00000000" w14:paraId="00000054">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contaminated clothing and wash the affected area thoroughly with soap and water, but do not abrade skin in the process.</w:t>
      </w:r>
    </w:p>
    <w:p w:rsidR="00000000" w:rsidDel="00000000" w:rsidP="00000000" w:rsidRDefault="00000000" w:rsidRPr="00000000" w14:paraId="00000055">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necessary, exit the lab area and immediately take a shower. Wash thoroughly with soap and water, but not hard enough to cause skin abrasions.</w:t>
      </w:r>
    </w:p>
    <w:p w:rsidR="00000000" w:rsidDel="00000000" w:rsidP="00000000" w:rsidRDefault="00000000" w:rsidRPr="00000000" w14:paraId="00000056">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the lab supervisor or PI</w:t>
      </w:r>
    </w:p>
    <w:p w:rsidR="00000000" w:rsidDel="00000000" w:rsidP="00000000" w:rsidRDefault="00000000" w:rsidRPr="00000000" w14:paraId="00000057">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exposed to BSL-2/RG2 (or above) agent, notify the Biosafety Officer</w:t>
      </w:r>
    </w:p>
    <w:p w:rsidR="00000000" w:rsidDel="00000000" w:rsidP="00000000" w:rsidRDefault="00000000" w:rsidRPr="00000000" w14:paraId="00000058">
      <w:pPr>
        <w:pageBreakBefore w:val="0"/>
        <w:spacing w:line="276" w:lineRule="auto"/>
        <w:ind w:left="108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9">
      <w:pPr>
        <w:pageBreakBefore w:val="0"/>
        <w:numPr>
          <w:ilvl w:val="1"/>
          <w:numId w:val="1"/>
        </w:numPr>
        <w:spacing w:line="276"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Penetrating wounds via syringes or potentially contaminated sharps</w:t>
      </w:r>
    </w:p>
    <w:p w:rsidR="00000000" w:rsidDel="00000000" w:rsidP="00000000" w:rsidRDefault="00000000" w:rsidRPr="00000000" w14:paraId="0000005A">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5B">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PPE</w:t>
      </w:r>
    </w:p>
    <w:p w:rsidR="00000000" w:rsidDel="00000000" w:rsidP="00000000" w:rsidRDefault="00000000" w:rsidRPr="00000000" w14:paraId="0000005C">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 immediately with soap and water.</w:t>
      </w:r>
    </w:p>
    <w:p w:rsidR="00000000" w:rsidDel="00000000" w:rsidP="00000000" w:rsidRDefault="00000000" w:rsidRPr="00000000" w14:paraId="0000005D">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lab supervisor or PI, who must notify the Biosafety Officer.</w:t>
      </w:r>
    </w:p>
    <w:p w:rsidR="00000000" w:rsidDel="00000000" w:rsidP="00000000" w:rsidRDefault="00000000" w:rsidRPr="00000000" w14:paraId="0000005E">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 appropriate medical care as described in 4</w:t>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numPr>
          <w:ilvl w:val="1"/>
          <w:numId w:val="1"/>
        </w:numPr>
        <w:spacing w:line="276"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Eyes, or mucous membrane exposure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pageBreakBefore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kind of exposure to skin, eyes, or mucosal membranes may result from a variety of routes including but not limited to i</w:t>
      </w:r>
      <w:r w:rsidDel="00000000" w:rsidR="00000000" w:rsidRPr="00000000">
        <w:rPr>
          <w:rFonts w:ascii="Times New Roman" w:cs="Times New Roman" w:eastAsia="Times New Roman" w:hAnsi="Times New Roman"/>
          <w:sz w:val="24"/>
          <w:szCs w:val="24"/>
          <w:rtl w:val="0"/>
        </w:rPr>
        <w:t xml:space="preserve">ngestion of liquid suspension of an infected material or by contaminated hand-to-mouth contact, or inhalation of infectious aerosols.</w:t>
      </w:r>
      <w:r w:rsidDel="00000000" w:rsidR="00000000" w:rsidRPr="00000000">
        <w:rPr>
          <w:rtl w:val="0"/>
        </w:rPr>
      </w:r>
    </w:p>
    <w:p w:rsidR="00000000" w:rsidDel="00000000" w:rsidP="00000000" w:rsidRDefault="00000000" w:rsidRPr="00000000" w14:paraId="00000062">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work.</w:t>
      </w:r>
    </w:p>
    <w:p w:rsidR="00000000" w:rsidDel="00000000" w:rsidP="00000000" w:rsidRDefault="00000000" w:rsidRPr="00000000" w14:paraId="00000063">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PPE</w:t>
      </w:r>
    </w:p>
    <w:p w:rsidR="00000000" w:rsidDel="00000000" w:rsidP="00000000" w:rsidRDefault="00000000" w:rsidRPr="00000000" w14:paraId="00000064">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flush eyes or mucous membrane with water for 10-15 minutes at an eye-wash station.</w:t>
      </w:r>
    </w:p>
    <w:p w:rsidR="00000000" w:rsidDel="00000000" w:rsidP="00000000" w:rsidRDefault="00000000" w:rsidRPr="00000000" w14:paraId="00000065">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lab supervisor or PI, who must notify the Biosafety Officer.</w:t>
      </w:r>
    </w:p>
    <w:p w:rsidR="00000000" w:rsidDel="00000000" w:rsidP="00000000" w:rsidRDefault="00000000" w:rsidRPr="00000000" w14:paraId="00000066">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 appropriate medical care as d</w:t>
      </w:r>
      <w:r w:rsidDel="00000000" w:rsidR="00000000" w:rsidRPr="00000000">
        <w:rPr>
          <w:rFonts w:ascii="Times New Roman" w:cs="Times New Roman" w:eastAsia="Times New Roman" w:hAnsi="Times New Roman"/>
          <w:sz w:val="24"/>
          <w:szCs w:val="24"/>
          <w:highlight w:val="white"/>
          <w:rtl w:val="0"/>
        </w:rPr>
        <w:t xml:space="preserve">escribed in</w:t>
      </w:r>
      <w:r w:rsidDel="00000000" w:rsidR="00000000" w:rsidRPr="00000000">
        <w:rPr>
          <w:rFonts w:ascii="Times New Roman" w:cs="Times New Roman" w:eastAsia="Times New Roman" w:hAnsi="Times New Roman"/>
          <w:sz w:val="24"/>
          <w:szCs w:val="24"/>
          <w:highlight w:val="white"/>
          <w:rtl w:val="0"/>
        </w:rPr>
        <w:t xml:space="preserve"> section 4.</w:t>
      </w:r>
    </w:p>
    <w:p w:rsidR="00000000" w:rsidDel="00000000" w:rsidP="00000000" w:rsidRDefault="00000000" w:rsidRPr="00000000" w14:paraId="00000067">
      <w:pPr>
        <w:pageBreakBefore w:val="0"/>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pageBreakBefore w:val="0"/>
        <w:numPr>
          <w:ilvl w:val="0"/>
          <w:numId w:val="1"/>
        </w:numPr>
        <w:spacing w:line="276"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Post Exposure Medical Care and Documentation</w:t>
      </w:r>
      <w:r w:rsidDel="00000000" w:rsidR="00000000" w:rsidRPr="00000000">
        <w:rPr>
          <w:rtl w:val="0"/>
        </w:rPr>
      </w:r>
    </w:p>
    <w:p w:rsidR="00000000" w:rsidDel="00000000" w:rsidP="00000000" w:rsidRDefault="00000000" w:rsidRPr="00000000" w14:paraId="00000069">
      <w:pPr>
        <w:pageBreakBefore w:val="0"/>
        <w:numPr>
          <w:ilvl w:val="1"/>
          <w:numId w:val="1"/>
        </w:numPr>
        <w:spacing w:line="276"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Go immediately to the </w:t>
      </w:r>
      <w:r w:rsidDel="00000000" w:rsidR="00000000" w:rsidRPr="00000000">
        <w:rPr>
          <w:rFonts w:ascii="Times New Roman" w:cs="Times New Roman" w:eastAsia="Times New Roman" w:hAnsi="Times New Roman"/>
          <w:sz w:val="24"/>
          <w:szCs w:val="24"/>
          <w:rtl w:val="0"/>
        </w:rPr>
        <w:t xml:space="preserve">RedMed Employee Health Clinic at the University Union Building or the Occupational Medical Clinic at the Redwood Health Center</w:t>
      </w:r>
      <w:r w:rsidDel="00000000" w:rsidR="00000000" w:rsidRPr="00000000">
        <w:rPr>
          <w:rFonts w:ascii="Times New Roman" w:cs="Times New Roman" w:eastAsia="Times New Roman" w:hAnsi="Times New Roman"/>
          <w:sz w:val="24"/>
          <w:szCs w:val="24"/>
          <w:rtl w:val="0"/>
        </w:rPr>
        <w:t xml:space="preserve"> for medical evaluation and follow-up; contact information and locations in Appendix 6.2.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5pm, you will be seen by an Urgent Care Physician. After 8pm, or if the injury is serious/life threatening, go to the U of U emergency room. </w:t>
      </w:r>
    </w:p>
    <w:p w:rsidR="00000000" w:rsidDel="00000000" w:rsidP="00000000" w:rsidRDefault="00000000" w:rsidRPr="00000000" w14:paraId="0000006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a filled out copy of the OEHS Post Exposure SOP (can be found at </w:t>
      </w:r>
      <w:hyperlink r:id="rId7">
        <w:r w:rsidDel="00000000" w:rsidR="00000000" w:rsidRPr="00000000">
          <w:rPr>
            <w:rFonts w:ascii="Times New Roman" w:cs="Times New Roman" w:eastAsia="Times New Roman" w:hAnsi="Times New Roman"/>
            <w:color w:val="1155cc"/>
            <w:sz w:val="24"/>
            <w:szCs w:val="24"/>
            <w:u w:val="single"/>
            <w:rtl w:val="0"/>
          </w:rPr>
          <w:t xml:space="preserve">https://oehs.utah.edu/resource-center/forms</w:t>
        </w:r>
      </w:hyperlink>
      <w:r w:rsidDel="00000000" w:rsidR="00000000" w:rsidRPr="00000000">
        <w:rPr>
          <w:rFonts w:ascii="Times New Roman" w:cs="Times New Roman" w:eastAsia="Times New Roman" w:hAnsi="Times New Roman"/>
          <w:sz w:val="24"/>
          <w:szCs w:val="24"/>
          <w:rtl w:val="0"/>
        </w:rPr>
        <w:t xml:space="preserve"> under “Biological Materials Exposure Procedures”at the end of this document. </w:t>
      </w:r>
    </w:p>
    <w:p w:rsidR="00000000" w:rsidDel="00000000" w:rsidP="00000000" w:rsidRDefault="00000000" w:rsidRPr="00000000" w14:paraId="0000006C">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the Healthcare Provider of any medical conditions, such as pregnancy or immunosuppression, and any current medications. The healthcare provider must have this information to evaluate you and to develop a proper post-exposure plan.</w:t>
      </w:r>
    </w:p>
    <w:p w:rsidR="00000000" w:rsidDel="00000000" w:rsidP="00000000" w:rsidRDefault="00000000" w:rsidRPr="00000000" w14:paraId="0000006D">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 for and receive any care or prophylaxis recommended by the physician.</w:t>
      </w:r>
    </w:p>
    <w:p w:rsidR="00000000" w:rsidDel="00000000" w:rsidP="00000000" w:rsidRDefault="00000000" w:rsidRPr="00000000" w14:paraId="0000006E">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up with the physician at Occupational Medicine, as requested.</w:t>
      </w:r>
    </w:p>
    <w:p w:rsidR="00000000" w:rsidDel="00000000" w:rsidP="00000000" w:rsidRDefault="00000000" w:rsidRPr="00000000" w14:paraId="0000006F">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the Employer’s First Report of Injury (E1-122 Form) This form can be downloaded from the human resources website  (</w:t>
      </w:r>
      <w:hyperlink r:id="rId8">
        <w:r w:rsidDel="00000000" w:rsidR="00000000" w:rsidRPr="00000000">
          <w:rPr>
            <w:rFonts w:ascii="Times New Roman" w:cs="Times New Roman" w:eastAsia="Times New Roman" w:hAnsi="Times New Roman"/>
            <w:color w:val="0000ff"/>
            <w:sz w:val="24"/>
            <w:szCs w:val="24"/>
            <w:u w:val="single"/>
            <w:rtl w:val="0"/>
          </w:rPr>
          <w:t xml:space="preserve">https://www.hr.utah.edu/forms/index.php</w:t>
        </w:r>
      </w:hyperlink>
      <w:r w:rsidDel="00000000" w:rsidR="00000000" w:rsidRPr="00000000">
        <w:rPr>
          <w:rFonts w:ascii="Times New Roman" w:cs="Times New Roman" w:eastAsia="Times New Roman" w:hAnsi="Times New Roman"/>
          <w:sz w:val="24"/>
          <w:szCs w:val="24"/>
          <w:rtl w:val="0"/>
        </w:rPr>
        <w:t xml:space="preserve">) under “Other Forms.”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mail completed E-1 to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Employee.Health@hsc.utah.edu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pageBreakBefore w:val="0"/>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medical care, immediately report the incident to the Biosafety Office (801-581-6590) or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biosafety@ehs.utah.edu</w:t>
        </w:r>
      </w:hyperlink>
      <w:r w:rsidDel="00000000" w:rsidR="00000000" w:rsidRPr="00000000">
        <w:rPr>
          <w:rFonts w:ascii="Times New Roman" w:cs="Times New Roman" w:eastAsia="Times New Roman" w:hAnsi="Times New Roman"/>
          <w:sz w:val="24"/>
          <w:szCs w:val="24"/>
          <w:rtl w:val="0"/>
        </w:rPr>
        <w:t xml:space="preserve"> as described in section 5.</w:t>
      </w:r>
    </w:p>
    <w:p w:rsidR="00000000" w:rsidDel="00000000" w:rsidP="00000000" w:rsidRDefault="00000000" w:rsidRPr="00000000" w14:paraId="0000007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numPr>
          <w:ilvl w:val="0"/>
          <w:numId w:val="1"/>
        </w:numPr>
        <w:spacing w:line="276"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Post Spill or Exposure Documentation</w:t>
      </w:r>
    </w:p>
    <w:p w:rsidR="00000000" w:rsidDel="00000000" w:rsidP="00000000" w:rsidRDefault="00000000" w:rsidRPr="00000000" w14:paraId="00000073">
      <w:pPr>
        <w:pageBreakBefore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Appendix 6.3 for exposure incident reporting guidelines. The PI or Supervisor of the lab in which the incident occurred is responsible for completing the Spill or Exposure Event Report as soon as possible following the incident. The Spill or Exposure Even Report can be found in Appendix 6.3 or completed online at </w:t>
      </w:r>
      <w:hyperlink r:id="rId11">
        <w:r w:rsidDel="00000000" w:rsidR="00000000" w:rsidRPr="00000000">
          <w:rPr>
            <w:rFonts w:ascii="Times New Roman" w:cs="Times New Roman" w:eastAsia="Times New Roman" w:hAnsi="Times New Roman"/>
            <w:color w:val="1155cc"/>
            <w:sz w:val="24"/>
            <w:szCs w:val="24"/>
            <w:u w:val="single"/>
            <w:rtl w:val="0"/>
          </w:rPr>
          <w:t xml:space="preserve">https://oehs.utah.edu/resource-center/forms/spills-and-exposures-procedures-r-dna</w:t>
        </w:r>
      </w:hyperlink>
      <w:r w:rsidDel="00000000" w:rsidR="00000000" w:rsidRPr="00000000">
        <w:rPr>
          <w:rFonts w:ascii="Times New Roman" w:cs="Times New Roman" w:eastAsia="Times New Roman" w:hAnsi="Times New Roman"/>
          <w:sz w:val="24"/>
          <w:szCs w:val="24"/>
          <w:rtl w:val="0"/>
        </w:rPr>
        <w:t xml:space="preserve">.  The completed report must be sent to the Biosafety Office (801-585-6590) or </w:t>
      </w:r>
      <w:hyperlink r:id="rId12">
        <w:r w:rsidDel="00000000" w:rsidR="00000000" w:rsidRPr="00000000">
          <w:rPr>
            <w:rFonts w:ascii="Times New Roman" w:cs="Times New Roman" w:eastAsia="Times New Roman" w:hAnsi="Times New Roman"/>
            <w:color w:val="1155cc"/>
            <w:sz w:val="24"/>
            <w:szCs w:val="24"/>
            <w:u w:val="single"/>
            <w:rtl w:val="0"/>
          </w:rPr>
          <w:t xml:space="preserve">biosafety@ehs.utah.edu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ageBreakBefore w:val="0"/>
        <w:numPr>
          <w:ilvl w:val="0"/>
          <w:numId w:val="1"/>
        </w:numPr>
        <w:spacing w:after="240" w:before="240" w:line="276"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Appendices</w:t>
      </w:r>
    </w:p>
    <w:p w:rsidR="00000000" w:rsidDel="00000000" w:rsidP="00000000" w:rsidRDefault="00000000" w:rsidRPr="00000000" w14:paraId="00000075">
      <w:pPr>
        <w:pageBreakBefore w:val="0"/>
        <w:numPr>
          <w:ilvl w:val="1"/>
          <w:numId w:val="1"/>
        </w:numPr>
        <w:spacing w:after="240" w:before="240" w:line="276"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Definitions of Exposure</w:t>
      </w:r>
    </w:p>
    <w:tbl>
      <w:tblPr>
        <w:tblStyle w:val="Table1"/>
        <w:tblW w:w="102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5"/>
        <w:tblGridChange w:id="0">
          <w:tblGrid>
            <w:gridCol w:w="10255"/>
          </w:tblGrid>
        </w:tblGridChange>
      </w:tblGrid>
      <w:tr>
        <w:trPr>
          <w:cantSplit w:val="0"/>
          <w:tblHeader w:val="0"/>
        </w:trPr>
        <w:tc>
          <w:tcPr>
            <w:shd w:fill="c00000" w:val="clear"/>
            <w:vAlign w:val="center"/>
          </w:tcPr>
          <w:p w:rsidR="00000000" w:rsidDel="00000000" w:rsidP="00000000" w:rsidRDefault="00000000" w:rsidRPr="00000000" w14:paraId="00000076">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 of Exposure</w:t>
            </w:r>
          </w:p>
        </w:tc>
      </w:tr>
      <w:tr>
        <w:trPr>
          <w:cantSplit w:val="0"/>
          <w:tblHeader w:val="0"/>
        </w:trPr>
        <w:tc>
          <w:tcPr>
            <w:shd w:fill="auto" w:val="clear"/>
            <w:vAlign w:val="center"/>
          </w:tcPr>
          <w:p w:rsidR="00000000" w:rsidDel="00000000" w:rsidP="00000000" w:rsidRDefault="00000000" w:rsidRPr="00000000" w14:paraId="00000077">
            <w:pPr>
              <w:pageBreakBefore w:val="0"/>
              <w:numPr>
                <w:ilvl w:val="0"/>
                <w:numId w:val="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skin, eye, or mucosal membrane exposure to the agent or materials potentially containing the agent, such as tissue culture media or cells, or bodily fluids from infected animals.  </w:t>
            </w:r>
          </w:p>
          <w:p w:rsidR="00000000" w:rsidDel="00000000" w:rsidP="00000000" w:rsidRDefault="00000000" w:rsidRPr="00000000" w14:paraId="00000078">
            <w:pPr>
              <w:pageBreakBefore w:val="0"/>
              <w:numPr>
                <w:ilvl w:val="0"/>
                <w:numId w:val="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Parenteral inoculation by a syringe needle or other contaminated sharp (needlestick),</w:t>
            </w:r>
          </w:p>
          <w:p w:rsidR="00000000" w:rsidDel="00000000" w:rsidP="00000000" w:rsidRDefault="00000000" w:rsidRPr="00000000" w14:paraId="00000079">
            <w:pPr>
              <w:pageBreakBefore w:val="0"/>
              <w:numPr>
                <w:ilvl w:val="0"/>
                <w:numId w:val="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Ingestion of liquid suspension of an infected material or by contaminated hand-to-mouth exposure, or</w:t>
            </w:r>
          </w:p>
          <w:p w:rsidR="00000000" w:rsidDel="00000000" w:rsidP="00000000" w:rsidRDefault="00000000" w:rsidRPr="00000000" w14:paraId="0000007A">
            <w:pPr>
              <w:pageBreakBefore w:val="0"/>
              <w:numPr>
                <w:ilvl w:val="0"/>
                <w:numId w:val="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Inhalation of infectious aerosols.</w:t>
            </w:r>
          </w:p>
        </w:tc>
      </w:tr>
    </w:tbl>
    <w:p w:rsidR="00000000" w:rsidDel="00000000" w:rsidP="00000000" w:rsidRDefault="00000000" w:rsidRPr="00000000" w14:paraId="0000007B">
      <w:pPr>
        <w:pageBreakBefore w:val="0"/>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numPr>
          <w:ilvl w:val="1"/>
          <w:numId w:val="1"/>
        </w:numPr>
        <w:spacing w:after="240" w:before="240" w:line="276" w:lineRule="auto"/>
        <w:ind w:left="1080" w:hanging="360"/>
        <w:rPr/>
      </w:pPr>
      <w:r w:rsidDel="00000000" w:rsidR="00000000" w:rsidRPr="00000000">
        <w:rPr>
          <w:rFonts w:ascii="Times New Roman" w:cs="Times New Roman" w:eastAsia="Times New Roman" w:hAnsi="Times New Roman"/>
          <w:rtl w:val="0"/>
        </w:rPr>
        <w:t xml:space="preserve">Locations and contact information for RedMed, Urgent Care Clinic, Occupational Medicine Clinic, and the University of Utah Emergency room in the event of an exposure incident.</w:t>
      </w:r>
    </w:p>
    <w:p w:rsidR="00000000" w:rsidDel="00000000" w:rsidP="00000000" w:rsidRDefault="00000000" w:rsidRPr="00000000" w14:paraId="0000007D">
      <w:pPr>
        <w:pageBreakBefore w:val="0"/>
        <w:tabs>
          <w:tab w:val="left" w:leader="none" w:pos="720"/>
        </w:tabs>
        <w:spacing w:line="240" w:lineRule="auto"/>
        <w:ind w:left="1080"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RedMed Employee Health Clinic</w:t>
      </w:r>
    </w:p>
    <w:p w:rsidR="00000000" w:rsidDel="00000000" w:rsidP="00000000" w:rsidRDefault="00000000" w:rsidRPr="00000000" w14:paraId="0000007E">
      <w:pPr>
        <w:pageBreakBefore w:val="0"/>
        <w:tabs>
          <w:tab w:val="left" w:leader="none" w:pos="720"/>
        </w:tabs>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200 Central Campus Dr.</w:t>
      </w:r>
    </w:p>
    <w:p w:rsidR="00000000" w:rsidDel="00000000" w:rsidP="00000000" w:rsidRDefault="00000000" w:rsidRPr="00000000" w14:paraId="0000007F">
      <w:pPr>
        <w:pageBreakBefore w:val="0"/>
        <w:tabs>
          <w:tab w:val="left" w:leader="none" w:pos="720"/>
        </w:tabs>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Salt Lake City, UT 84112</w:t>
      </w:r>
    </w:p>
    <w:p w:rsidR="00000000" w:rsidDel="00000000" w:rsidP="00000000" w:rsidRDefault="00000000" w:rsidRPr="00000000" w14:paraId="00000080">
      <w:pPr>
        <w:pageBreakBefore w:val="0"/>
        <w:tabs>
          <w:tab w:val="left" w:leader="none" w:pos="720"/>
        </w:tabs>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Phone: (801) 213-3303</w:t>
      </w:r>
    </w:p>
    <w:p w:rsidR="00000000" w:rsidDel="00000000" w:rsidP="00000000" w:rsidRDefault="00000000" w:rsidRPr="00000000" w14:paraId="00000081">
      <w:pPr>
        <w:pageBreakBefore w:val="0"/>
        <w:tabs>
          <w:tab w:val="left" w:leader="none" w:pos="720"/>
        </w:tabs>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Hours: M-TH: 8:00AM – 5:00PM, Friday: 9:00AM – 3:30PM</w:t>
      </w:r>
    </w:p>
    <w:p w:rsidR="00000000" w:rsidDel="00000000" w:rsidP="00000000" w:rsidRDefault="00000000" w:rsidRPr="00000000" w14:paraId="00000082">
      <w:pPr>
        <w:pageBreakBefore w:val="0"/>
        <w:tabs>
          <w:tab w:val="left" w:leader="none" w:pos="720"/>
        </w:tabs>
        <w:spacing w:line="240" w:lineRule="auto"/>
        <w:ind w:left="108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spacing w:line="240" w:lineRule="auto"/>
        <w:ind w:left="1080"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Redwood Health Center</w:t>
      </w:r>
    </w:p>
    <w:p w:rsidR="00000000" w:rsidDel="00000000" w:rsidP="00000000" w:rsidRDefault="00000000" w:rsidRPr="00000000" w14:paraId="00000084">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Occupational Medicine Clinic</w:t>
      </w:r>
    </w:p>
    <w:p w:rsidR="00000000" w:rsidDel="00000000" w:rsidP="00000000" w:rsidRDefault="00000000" w:rsidRPr="00000000" w14:paraId="00000085">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1525 West 2100 South</w:t>
      </w:r>
    </w:p>
    <w:p w:rsidR="00000000" w:rsidDel="00000000" w:rsidP="00000000" w:rsidRDefault="00000000" w:rsidRPr="00000000" w14:paraId="00000086">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Salt Lake City, UT 84119</w:t>
      </w:r>
    </w:p>
    <w:p w:rsidR="00000000" w:rsidDel="00000000" w:rsidP="00000000" w:rsidRDefault="00000000" w:rsidRPr="00000000" w14:paraId="00000087">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Phone: (801) 213-9777</w:t>
      </w:r>
    </w:p>
    <w:p w:rsidR="00000000" w:rsidDel="00000000" w:rsidP="00000000" w:rsidRDefault="00000000" w:rsidRPr="00000000" w14:paraId="00000088">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Hours: M-F 8:00AM – 5:00PM</w:t>
      </w:r>
    </w:p>
    <w:p w:rsidR="00000000" w:rsidDel="00000000" w:rsidP="00000000" w:rsidRDefault="00000000" w:rsidRPr="00000000" w14:paraId="00000089">
      <w:pPr>
        <w:pageBreakBefore w:val="0"/>
        <w:spacing w:line="240" w:lineRule="auto"/>
        <w:ind w:left="108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spacing w:line="240" w:lineRule="auto"/>
        <w:ind w:left="1080"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Redwood Urgent Care</w:t>
      </w:r>
    </w:p>
    <w:p w:rsidR="00000000" w:rsidDel="00000000" w:rsidP="00000000" w:rsidRDefault="00000000" w:rsidRPr="00000000" w14:paraId="0000008B">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1525 West 2100 South</w:t>
      </w:r>
    </w:p>
    <w:p w:rsidR="00000000" w:rsidDel="00000000" w:rsidP="00000000" w:rsidRDefault="00000000" w:rsidRPr="00000000" w14:paraId="0000008C">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Salt Lake City, UT 84119</w:t>
      </w:r>
    </w:p>
    <w:p w:rsidR="00000000" w:rsidDel="00000000" w:rsidP="00000000" w:rsidRDefault="00000000" w:rsidRPr="00000000" w14:paraId="0000008D">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M-F 5:00PM – 8:00PM</w:t>
      </w:r>
    </w:p>
    <w:p w:rsidR="00000000" w:rsidDel="00000000" w:rsidP="00000000" w:rsidRDefault="00000000" w:rsidRPr="00000000" w14:paraId="0000008E">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Sat.-Sun.: 9:00AM – 8:00PM</w:t>
      </w:r>
    </w:p>
    <w:p w:rsidR="00000000" w:rsidDel="00000000" w:rsidP="00000000" w:rsidRDefault="00000000" w:rsidRPr="00000000" w14:paraId="0000008F">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 (801) 213-9700</w:t>
      </w:r>
    </w:p>
    <w:p w:rsidR="00000000" w:rsidDel="00000000" w:rsidP="00000000" w:rsidRDefault="00000000" w:rsidRPr="00000000" w14:paraId="00000090">
      <w:pPr>
        <w:pageBreakBefore w:val="0"/>
        <w:spacing w:line="240" w:lineRule="auto"/>
        <w:ind w:left="108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spacing w:line="240" w:lineRule="auto"/>
        <w:ind w:left="1080"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After 8 PM</w:t>
      </w:r>
    </w:p>
    <w:p w:rsidR="00000000" w:rsidDel="00000000" w:rsidP="00000000" w:rsidRDefault="00000000" w:rsidRPr="00000000" w14:paraId="00000092">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Emergency Department at University Hospital</w:t>
      </w:r>
    </w:p>
    <w:p w:rsidR="00000000" w:rsidDel="00000000" w:rsidP="00000000" w:rsidRDefault="00000000" w:rsidRPr="00000000" w14:paraId="00000093">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(main floor northeast side of the hospital)</w:t>
      </w:r>
    </w:p>
    <w:p w:rsidR="00000000" w:rsidDel="00000000" w:rsidP="00000000" w:rsidRDefault="00000000" w:rsidRPr="00000000" w14:paraId="00000094">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50 N. Medical Drive</w:t>
      </w:r>
    </w:p>
    <w:p w:rsidR="00000000" w:rsidDel="00000000" w:rsidP="00000000" w:rsidRDefault="00000000" w:rsidRPr="00000000" w14:paraId="00000095">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Salt Lake City, UT 84132</w:t>
      </w:r>
    </w:p>
    <w:p w:rsidR="00000000" w:rsidDel="00000000" w:rsidP="00000000" w:rsidRDefault="00000000" w:rsidRPr="00000000" w14:paraId="00000096">
      <w:pPr>
        <w:pageBreakBefore w:val="0"/>
        <w:spacing w:line="240" w:lineRule="auto"/>
        <w:ind w:left="1080" w:firstLine="0"/>
        <w:jc w:val="center"/>
        <w:rPr>
          <w:rFonts w:ascii="Calibri" w:cs="Calibri" w:eastAsia="Calibri" w:hAnsi="Calibri"/>
        </w:rPr>
      </w:pPr>
      <w:r w:rsidDel="00000000" w:rsidR="00000000" w:rsidRPr="00000000">
        <w:rPr>
          <w:rFonts w:ascii="Calibri" w:cs="Calibri" w:eastAsia="Calibri" w:hAnsi="Calibri"/>
          <w:rtl w:val="0"/>
        </w:rPr>
        <w:t xml:space="preserve">(801) 581-2292</w:t>
      </w:r>
    </w:p>
    <w:p w:rsidR="00000000" w:rsidDel="00000000" w:rsidP="00000000" w:rsidRDefault="00000000" w:rsidRPr="00000000" w14:paraId="00000097">
      <w:pPr>
        <w:pageBreakBefore w:val="0"/>
        <w:spacing w:line="240" w:lineRule="auto"/>
        <w:ind w:left="1080" w:firstLine="0"/>
        <w:jc w:val="center"/>
        <w:rPr>
          <w:rFonts w:ascii="Calibri" w:cs="Calibri" w:eastAsia="Calibri" w:hAnsi="Calibri"/>
        </w:rPr>
      </w:pPr>
      <w:r w:rsidDel="00000000" w:rsidR="00000000" w:rsidRPr="00000000">
        <w:br w:type="page"/>
      </w:r>
      <w:r w:rsidDel="00000000" w:rsidR="00000000" w:rsidRPr="00000000">
        <w:rPr>
          <w:rtl w:val="0"/>
        </w:rPr>
      </w:r>
    </w:p>
    <w:tbl>
      <w:tblPr>
        <w:tblStyle w:val="Table2"/>
        <w:tblW w:w="97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5"/>
        <w:tblGridChange w:id="0">
          <w:tblGrid>
            <w:gridCol w:w="9715"/>
          </w:tblGrid>
        </w:tblGridChange>
      </w:tblGrid>
      <w:tr>
        <w:trPr>
          <w:cantSplit w:val="0"/>
          <w:trHeight w:val="755" w:hRule="atLeast"/>
          <w:tblHeader w:val="0"/>
        </w:trPr>
        <w:tc>
          <w:tcPr>
            <w:shd w:fill="c00000" w:val="clear"/>
            <w:vAlign w:val="center"/>
          </w:tcPr>
          <w:p w:rsidR="00000000" w:rsidDel="00000000" w:rsidP="00000000" w:rsidRDefault="00000000" w:rsidRPr="00000000" w14:paraId="00000098">
            <w:pPr>
              <w:pageBreakBefore w:val="0"/>
              <w:spacing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Maps of Occupational Medicine Clinics</w:t>
            </w:r>
          </w:p>
        </w:tc>
      </w:tr>
      <w:tr>
        <w:trPr>
          <w:cantSplit w:val="0"/>
          <w:trHeight w:val="4919" w:hRule="atLeast"/>
          <w:tblHeader w:val="0"/>
        </w:trPr>
        <w:tc>
          <w:tcPr>
            <w:shd w:fill="auto" w:val="clear"/>
          </w:tcPr>
          <w:p w:rsidR="00000000" w:rsidDel="00000000" w:rsidP="00000000" w:rsidRDefault="00000000" w:rsidRPr="00000000" w14:paraId="00000099">
            <w:pPr>
              <w:pageBreakBefore w:val="0"/>
              <w:spacing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533265" cy="281178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533265" cy="28117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838200</wp:posOffset>
                      </wp:positionV>
                      <wp:extent cx="800100" cy="529590"/>
                      <wp:effectExtent b="0" l="0" r="0" t="0"/>
                      <wp:wrapNone/>
                      <wp:docPr id="1" name=""/>
                      <a:graphic>
                        <a:graphicData uri="http://schemas.microsoft.com/office/word/2010/wordprocessingShape">
                          <wps:wsp>
                            <wps:cNvSpPr/>
                            <wps:cNvPr id="2" name="Shape 2"/>
                            <wps:spPr>
                              <a:xfrm>
                                <a:off x="4952300" y="3521555"/>
                                <a:ext cx="787400" cy="516890"/>
                              </a:xfrm>
                              <a:prstGeom prst="ellipse">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838200</wp:posOffset>
                      </wp:positionV>
                      <wp:extent cx="800100" cy="529590"/>
                      <wp:effectExtent b="0" l="0" r="0" t="0"/>
                      <wp:wrapNone/>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800100" cy="529590"/>
                              </a:xfrm>
                              <a:prstGeom prst="rect"/>
                              <a:ln/>
                            </pic:spPr>
                          </pic:pic>
                        </a:graphicData>
                      </a:graphic>
                    </wp:anchor>
                  </w:drawing>
                </mc:Fallback>
              </mc:AlternateContent>
            </w:r>
          </w:p>
          <w:p w:rsidR="00000000" w:rsidDel="00000000" w:rsidP="00000000" w:rsidRDefault="00000000" w:rsidRPr="00000000" w14:paraId="0000009A">
            <w:pPr>
              <w:pageBreakBefore w:val="0"/>
              <w:spacing w:line="276"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UNIVERSITY OF UTAH REDWOOD HEALTH CENTER OCCUPATIONAL MEDICINE</w:t>
            </w:r>
          </w:p>
          <w:p w:rsidR="00000000" w:rsidDel="00000000" w:rsidP="00000000" w:rsidRDefault="00000000" w:rsidRPr="00000000" w14:paraId="0000009B">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1525 W. 2100 S.  Salt Lake City UT, 84119</w:t>
            </w:r>
          </w:p>
          <w:p w:rsidR="00000000" w:rsidDel="00000000" w:rsidP="00000000" w:rsidRDefault="00000000" w:rsidRPr="00000000" w14:paraId="0000009C">
            <w:pPr>
              <w:pageBreakBefore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pageBreakBefore w:val="0"/>
              <w:spacing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601210" cy="2895600"/>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60121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ageBreakBefore w:val="0"/>
              <w:spacing w:line="276"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REDMED EMPLOYEE HEALTH CLINIC</w:t>
            </w:r>
          </w:p>
          <w:p w:rsidR="00000000" w:rsidDel="00000000" w:rsidP="00000000" w:rsidRDefault="00000000" w:rsidRPr="00000000" w14:paraId="0000009F">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200 Central Campus Dr.  Salt Lake City, UT 84112</w:t>
            </w:r>
          </w:p>
        </w:tc>
      </w:tr>
    </w:tbl>
    <w:p w:rsidR="00000000" w:rsidDel="00000000" w:rsidP="00000000" w:rsidRDefault="00000000" w:rsidRPr="00000000" w14:paraId="000000A0">
      <w:pPr>
        <w:pageBreakBefore w:val="0"/>
        <w:spacing w:line="276"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numPr>
          <w:ilvl w:val="1"/>
          <w:numId w:val="1"/>
        </w:numPr>
        <w:spacing w:after="240" w:before="240" w:line="276" w:lineRule="auto"/>
        <w:ind w:left="1080" w:hanging="360"/>
        <w:rPr>
          <w:sz w:val="24"/>
          <w:szCs w:val="24"/>
        </w:rPr>
      </w:pPr>
      <w:r w:rsidDel="00000000" w:rsidR="00000000" w:rsidRPr="00000000">
        <w:rPr>
          <w:rFonts w:ascii="Times New Roman" w:cs="Times New Roman" w:eastAsia="Times New Roman" w:hAnsi="Times New Roman"/>
          <w:b w:val="1"/>
          <w:rtl w:val="0"/>
        </w:rPr>
        <w:t xml:space="preserve">SPILLS OR EXPOSURE EVENT REPORTING PROCEDURE</w:t>
      </w:r>
    </w:p>
    <w:p w:rsidR="00000000" w:rsidDel="00000000" w:rsidP="00000000" w:rsidRDefault="00000000" w:rsidRPr="00000000" w14:paraId="000000A3">
      <w:pPr>
        <w:pageBreakBefore w:val="0"/>
        <w:spacing w:after="240" w:before="240" w:line="276"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significant problems, violations of the </w:t>
      </w:r>
      <w:r w:rsidDel="00000000" w:rsidR="00000000" w:rsidRPr="00000000">
        <w:rPr>
          <w:rFonts w:ascii="Times New Roman" w:cs="Times New Roman" w:eastAsia="Times New Roman" w:hAnsi="Times New Roman"/>
          <w:i w:val="1"/>
          <w:rtl w:val="0"/>
        </w:rPr>
        <w:t xml:space="preserve">NIH Guidelines</w:t>
      </w:r>
      <w:r w:rsidDel="00000000" w:rsidR="00000000" w:rsidRPr="00000000">
        <w:rPr>
          <w:rFonts w:ascii="Times New Roman" w:cs="Times New Roman" w:eastAsia="Times New Roman" w:hAnsi="Times New Roman"/>
          <w:rtl w:val="0"/>
        </w:rPr>
        <w:t xml:space="preserve">, or any significant research-related accidents and illnesses must be reported to the IBC so that a report can be sent to the NIH Office of Science Policy (OSP) within 30 days. Certain types of accidents must be reported on a more expedited basis. Spills or accidents in BL2 laboratories resulting in an overt exposure must be immediately reported to the IBC and PBBP. Spills or accidents occurring in high containment (BL3 or BL4) laboratories resulting in an overt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potential exposure must be immediately reported to OSP.</w:t>
      </w:r>
    </w:p>
    <w:p w:rsidR="00000000" w:rsidDel="00000000" w:rsidP="00000000" w:rsidRDefault="00000000" w:rsidRPr="00000000" w14:paraId="000000A4">
      <w:pPr>
        <w:pageBreakBefore w:val="0"/>
        <w:spacing w:after="240" w:before="240" w:line="276"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spill or accident involving recombinant or synthetic DNA research that leads to personal injury or illness or to a containment breach must be reported to the IBC and OSP. These events might also include skin punctures with needles containing recombinant or synthetic DNA, the escape or improper disposition of a transgenic animal, or spills of high-risk recombinant materials occurring outside of a biosafety cabinet. Failure to adhere to the containment and biosafety practices articulated in the </w:t>
      </w:r>
      <w:r w:rsidDel="00000000" w:rsidR="00000000" w:rsidRPr="00000000">
        <w:rPr>
          <w:rFonts w:ascii="Times New Roman" w:cs="Times New Roman" w:eastAsia="Times New Roman" w:hAnsi="Times New Roman"/>
          <w:i w:val="1"/>
          <w:rtl w:val="0"/>
        </w:rPr>
        <w:t xml:space="preserve">NIH Guidelines </w:t>
      </w:r>
      <w:r w:rsidDel="00000000" w:rsidR="00000000" w:rsidRPr="00000000">
        <w:rPr>
          <w:rFonts w:ascii="Times New Roman" w:cs="Times New Roman" w:eastAsia="Times New Roman" w:hAnsi="Times New Roman"/>
          <w:rtl w:val="0"/>
        </w:rPr>
        <w:t xml:space="preserve">must also be reported to IBC and OSP.</w:t>
      </w:r>
    </w:p>
    <w:p w:rsidR="00000000" w:rsidDel="00000000" w:rsidP="00000000" w:rsidRDefault="00000000" w:rsidRPr="00000000" w14:paraId="000000A5">
      <w:pPr>
        <w:pageBreakBefore w:val="0"/>
        <w:spacing w:after="240" w:before="240" w:line="276"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exposure to infectious agents or other potentially infected material should be reported to the IBC.</w:t>
      </w:r>
    </w:p>
    <w:p w:rsidR="00000000" w:rsidDel="00000000" w:rsidP="00000000" w:rsidRDefault="00000000" w:rsidRPr="00000000" w14:paraId="000000A6">
      <w:pPr>
        <w:pageBreakBefore w:val="0"/>
        <w:spacing w:after="240" w:before="240" w:line="276"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spills of low-risk agents not involving a containment breach that were properly cleaned and decontaminated generally do not need to be reported. If the PI or other staff are uncertain whether the nature or severity of the incident warrants reporting, contact the Biosafety Officer, who can assist in making this determination with guidance from OSP, if necessary.</w:t>
      </w:r>
    </w:p>
    <w:p w:rsidR="00000000" w:rsidDel="00000000" w:rsidP="00000000" w:rsidRDefault="00000000" w:rsidRPr="00000000" w14:paraId="000000A7">
      <w:pPr>
        <w:pageBreakBefore w:val="0"/>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pageBreakBefore w:val="0"/>
        <w:tabs>
          <w:tab w:val="left" w:leader="none" w:pos="360"/>
          <w:tab w:val="left" w:leader="none" w:pos="12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complete the form below and submit to the Biosafety Officer (801-581-6590)</w:t>
      </w:r>
      <w:r w:rsidDel="00000000" w:rsidR="00000000" w:rsidRPr="00000000">
        <w:rPr>
          <w:rtl w:val="0"/>
        </w:rPr>
      </w:r>
    </w:p>
    <w:p w:rsidR="00000000" w:rsidDel="00000000" w:rsidP="00000000" w:rsidRDefault="00000000" w:rsidRPr="00000000" w14:paraId="000000A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ageBreakBefore w:val="0"/>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Do we need to fill this out too???? Why are there two incident reporting forms? Email Biosafety office!!!</w:t>
      </w:r>
    </w:p>
    <w:p w:rsidR="00000000" w:rsidDel="00000000" w:rsidP="00000000" w:rsidRDefault="00000000" w:rsidRPr="00000000" w14:paraId="000000AB">
      <w:pPr>
        <w:pageBreakBefore w:val="0"/>
        <w:rPr/>
      </w:pPr>
      <w:hyperlink r:id="rId16">
        <w:r w:rsidDel="00000000" w:rsidR="00000000" w:rsidRPr="00000000">
          <w:rPr>
            <w:color w:val="1155cc"/>
            <w:u w:val="single"/>
            <w:rtl w:val="0"/>
          </w:rPr>
          <w:t xml:space="preserve">https://oehs.utah.edu/resource-center/forms/recombinant-dna-and-synthetic-nucleic-acid-incident-reporting-template</w:t>
        </w:r>
      </w:hyperlink>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B2">
            <w:pPr>
              <w:pageBreakBefore w:val="0"/>
              <w:spacing w:line="276" w:lineRule="auto"/>
              <w:rPr>
                <w:rFonts w:ascii="Times New Roman" w:cs="Times New Roman" w:eastAsia="Times New Roman" w:hAnsi="Times New Roman"/>
                <w:b w:val="1"/>
                <w:sz w:val="28"/>
                <w:szCs w:val="28"/>
              </w:rPr>
            </w:pPr>
            <w:commentRangeStart w:id="0"/>
            <w:r w:rsidDel="00000000" w:rsidR="00000000" w:rsidRPr="00000000">
              <w:rPr>
                <w:rFonts w:ascii="Times New Roman" w:cs="Times New Roman" w:eastAsia="Times New Roman" w:hAnsi="Times New Roman"/>
                <w:b w:val="1"/>
                <w:sz w:val="28"/>
                <w:szCs w:val="28"/>
                <w:rtl w:val="0"/>
              </w:rPr>
              <w:t xml:space="preserve">SPILL OR EXPOSURE EVENT REPORT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B3">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ageBreakBefore w:val="0"/>
              <w:spacing w:line="276" w:lineRule="auto"/>
              <w:rPr/>
            </w:pPr>
            <w:r w:rsidDel="00000000" w:rsidR="00000000" w:rsidRPr="00000000">
              <w:rPr>
                <w:rFonts w:ascii="Times New Roman" w:cs="Times New Roman" w:eastAsia="Times New Roman" w:hAnsi="Times New Roman"/>
                <w:sz w:val="20"/>
                <w:szCs w:val="20"/>
                <w:rtl w:val="0"/>
              </w:rPr>
              <w:t xml:space="preserve">If a spill or exposure to Recombinant DNA or Synthetic Nucleic Acid Molecules, Infectious Agents or Other Potentially Infected Material occurs in your laboratory, please complete the following information and give to the Biosafety Officer. This will serve as a record of the event and be used for NIH OSP reporting,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Date of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Principal Investigator: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IBC Registration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Building/Room #:</w:t>
            </w:r>
          </w:p>
          <w:p w:rsidR="00000000" w:rsidDel="00000000" w:rsidP="00000000" w:rsidRDefault="00000000" w:rsidRPr="00000000" w14:paraId="000000BC">
            <w:pPr>
              <w:pageBreakBefore w:val="0"/>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Location with room (bench, biosafety cabinet, centrifuge,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this work NIH funded?</w:t>
            </w:r>
          </w:p>
          <w:p w:rsidR="00000000" w:rsidDel="00000000" w:rsidP="00000000" w:rsidRDefault="00000000" w:rsidRPr="00000000" w14:paraId="000000C1">
            <w:pPr>
              <w:pageBreakBefore w:val="0"/>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yes, please provide the grant number, NIH funding institute or center, NIH program officer contact information (name, email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Event (Spill, puncture wound, etc.):</w:t>
            </w:r>
          </w:p>
          <w:p w:rsidR="00000000" w:rsidDel="00000000" w:rsidP="00000000" w:rsidRDefault="00000000" w:rsidRPr="00000000" w14:paraId="000000C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 of lab personnel involved/exposed:</w:t>
            </w:r>
          </w:p>
          <w:p w:rsidR="00000000" w:rsidDel="00000000" w:rsidP="00000000" w:rsidRDefault="00000000" w:rsidRPr="00000000" w14:paraId="000000C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pageBreakBefore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Sites of exposure (eye, mouth, etc: If applicable):</w:t>
            </w:r>
          </w:p>
          <w:p w:rsidR="00000000" w:rsidDel="00000000" w:rsidP="00000000" w:rsidRDefault="00000000" w:rsidRPr="00000000" w14:paraId="000000CB">
            <w:pPr>
              <w:pageBreakBefore w:val="0"/>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Agent (Recombinant Lentivirus, recombinant adenovirus, </w:t>
            </w:r>
            <w:r w:rsidDel="00000000" w:rsidR="00000000" w:rsidRPr="00000000">
              <w:rPr>
                <w:rFonts w:ascii="Times New Roman" w:cs="Times New Roman" w:eastAsia="Times New Roman" w:hAnsi="Times New Roman"/>
                <w:color w:val="ff0000"/>
                <w:rtl w:val="0"/>
              </w:rPr>
              <w:t xml:space="preserve">HIV, Unknown </w:t>
            </w:r>
            <w:r w:rsidDel="00000000" w:rsidR="00000000" w:rsidRPr="00000000">
              <w:rPr>
                <w:rFonts w:ascii="Times New Roman" w:cs="Times New Roman" w:eastAsia="Times New Roman" w:hAnsi="Times New Roman"/>
                <w:rtl w:val="0"/>
              </w:rPr>
              <w:t xml:space="preserve">etc);</w:t>
            </w:r>
          </w:p>
          <w:p w:rsidR="00000000" w:rsidDel="00000000" w:rsidP="00000000" w:rsidRDefault="00000000" w:rsidRPr="00000000" w14:paraId="000000CE">
            <w:pPr>
              <w:pageBreakBefore w:val="0"/>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 encoded by vector:</w:t>
            </w:r>
          </w:p>
          <w:p w:rsidR="00000000" w:rsidDel="00000000" w:rsidP="00000000" w:rsidRDefault="00000000" w:rsidRPr="00000000" w14:paraId="000000CF">
            <w:pPr>
              <w:pageBreakBefore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Known Oncogene or predicted to increase risk of oncogenesis (Y or N):</w:t>
            </w:r>
          </w:p>
          <w:p w:rsidR="00000000" w:rsidDel="00000000" w:rsidP="00000000" w:rsidRDefault="00000000" w:rsidRPr="00000000" w14:paraId="000000D0">
            <w:pPr>
              <w:pageBreakBefore w:val="0"/>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Containment Level (BSL-2-enhanced, BSL-2, etc)</w:t>
            </w:r>
          </w:p>
          <w:p w:rsidR="00000000" w:rsidDel="00000000" w:rsidP="00000000" w:rsidRDefault="00000000" w:rsidRPr="00000000" w14:paraId="000000D1">
            <w:pPr>
              <w:pageBreakBefore w:val="0"/>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Amount exposed (pfu, µl, etc: if known):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of post exposure/spill response (please describe disinfectant agents, washing of exposed sites, PPE worn during clean up, etc.):</w:t>
            </w:r>
          </w:p>
          <w:p w:rsidR="00000000" w:rsidDel="00000000" w:rsidP="00000000" w:rsidRDefault="00000000" w:rsidRPr="00000000" w14:paraId="000000D3">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pageBreakBefore w:val="0"/>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the affected individuals need medical treatment and, if so, where were they treated?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submitted to Biosafety Officer:</w:t>
            </w:r>
          </w:p>
        </w:tc>
      </w:tr>
    </w:tbl>
    <w:p w:rsidR="00000000" w:rsidDel="00000000" w:rsidP="00000000" w:rsidRDefault="00000000" w:rsidRPr="00000000" w14:paraId="000000E4">
      <w:pPr>
        <w:pageBreakBefore w:val="0"/>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James Marvin" w:id="0" w:date="2020-04-08T15:16:49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probably need this report as a separate form? or just use the online form?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University of Utah Flow Cytometry Core Facility                                              </w:t>
      <w:tab/>
      <w:t xml:space="preserve">                SOP 42.0</w:t>
    </w:r>
    <w:r w:rsidDel="00000000" w:rsidR="00000000" w:rsidRPr="00000000">
      <w:rPr>
        <w:rtl w:val="0"/>
      </w:rPr>
    </w:r>
  </w:p>
  <w:p w:rsidR="00000000" w:rsidDel="00000000" w:rsidP="00000000" w:rsidRDefault="00000000" w:rsidRPr="00000000" w14:paraId="000000E6">
    <w:pPr>
      <w:pageBreakBefore w:val="0"/>
      <w:spacing w:line="240" w:lineRule="auto"/>
      <w:rPr/>
    </w:pPr>
    <w:r w:rsidDel="00000000" w:rsidR="00000000" w:rsidRPr="00000000">
      <w:rPr>
        <w:rFonts w:ascii="Calibri" w:cs="Calibri" w:eastAsia="Calibri" w:hAnsi="Calibri"/>
        <w:rtl w:val="0"/>
      </w:rPr>
      <w:t xml:space="preserve">Spills and Exposure Plan</w:t>
      <w:tab/>
      <w:t xml:space="preserve">                                                  </w:t>
      <w:tab/>
      <w:t xml:space="preserve">        </w:t>
      <w:tab/>
      <w:tab/>
      <w:tab/>
      <w:tab/>
      <w:t xml:space="preserve">    4-10-20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right"/>
      <w:pPr>
        <w:ind w:left="180" w:hanging="360"/>
      </w:pPr>
      <w:rPr>
        <w:rFonts w:ascii="Arial" w:cs="Arial" w:eastAsia="Arial" w:hAnsi="Arial"/>
        <w:b w:val="1"/>
        <w:u w:val="none"/>
      </w:rPr>
    </w:lvl>
    <w:lvl w:ilvl="1">
      <w:start w:val="1"/>
      <w:numFmt w:val="decimal"/>
      <w:lvlText w:val="%1.%2."/>
      <w:lvlJc w:val="right"/>
      <w:pPr>
        <w:ind w:left="1080" w:hanging="360"/>
      </w:pPr>
      <w:rPr>
        <w:rFonts w:ascii="Times New Roman" w:cs="Times New Roman" w:eastAsia="Times New Roman" w:hAnsi="Times New Roman"/>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ehs.utah.edu/resource-center/forms/spills-and-exposures-procedures-r-dna" TargetMode="External"/><Relationship Id="rId10" Type="http://schemas.openxmlformats.org/officeDocument/2006/relationships/hyperlink" Target="mailto:biosafety@ehs.utah.edu" TargetMode="External"/><Relationship Id="rId13" Type="http://schemas.openxmlformats.org/officeDocument/2006/relationships/image" Target="media/image2.png"/><Relationship Id="rId12" Type="http://schemas.openxmlformats.org/officeDocument/2006/relationships/hyperlink" Target="mailto:biasafety@ehs.utah.ed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Employee.Health@hsc.utah.edu" TargetMode="External"/><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yperlink" Target="https://oehs.utah.edu/resource-center/forms/recombinant-dna-and-synthetic-nucleic-acid-incident-reporting-templat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ehs.utah.edu/resource-center/forms" TargetMode="External"/><Relationship Id="rId8" Type="http://schemas.openxmlformats.org/officeDocument/2006/relationships/hyperlink" Target="https://www.hr.utah.edu/form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